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D7" w:rsidRPr="00F94A86" w:rsidRDefault="000F2BD7" w:rsidP="00F94A86">
      <w:pPr>
        <w:pStyle w:val="1"/>
        <w:rPr>
          <w:rStyle w:val="af1"/>
          <w:b w:val="0"/>
          <w:bCs w:val="0"/>
          <w:i w:val="0"/>
          <w:iCs w:val="0"/>
          <w:sz w:val="30"/>
          <w:szCs w:val="30"/>
        </w:rPr>
      </w:pPr>
      <w:r w:rsidRPr="00F94A86">
        <w:rPr>
          <w:rStyle w:val="af1"/>
          <w:b w:val="0"/>
          <w:bCs w:val="0"/>
          <w:i w:val="0"/>
          <w:iCs w:val="0"/>
          <w:sz w:val="30"/>
          <w:szCs w:val="30"/>
        </w:rPr>
        <w:t>МИНИМАЛЬНЫЙ ОБЪЕМ ИНФОРМАЦИИ, ПРЕДОСТАВЛЯЕМОЙ ПОЛУЧАТЕЛЯМ ФИНАНСОВЫХ УСЛУГ</w:t>
      </w:r>
      <w:r w:rsidR="00F94A86" w:rsidRPr="00F94A86">
        <w:rPr>
          <w:rStyle w:val="af1"/>
          <w:b w:val="0"/>
          <w:bCs w:val="0"/>
          <w:i w:val="0"/>
          <w:iCs w:val="0"/>
          <w:sz w:val="30"/>
          <w:szCs w:val="30"/>
        </w:rPr>
        <w:t>*</w:t>
      </w:r>
      <w:r w:rsidR="00F94A86" w:rsidRPr="00F94A86">
        <w:rPr>
          <w:rStyle w:val="af1"/>
          <w:b w:val="0"/>
          <w:bCs w:val="0"/>
          <w:i w:val="0"/>
          <w:iCs w:val="0"/>
          <w:sz w:val="30"/>
          <w:szCs w:val="30"/>
        </w:rPr>
        <w:br/>
      </w:r>
    </w:p>
    <w:p w:rsidR="000F2BD7" w:rsidRDefault="000F2BD7" w:rsidP="00F94A86">
      <w:pPr>
        <w:pStyle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A86" w:rsidRPr="00F94A86" w:rsidRDefault="00F94A86" w:rsidP="00F94A86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  <w:r w:rsidRPr="00F94A86">
        <w:rPr>
          <w:rStyle w:val="70"/>
          <w:i w:val="0"/>
          <w:iCs w:val="0"/>
          <w:color w:val="850C4B" w:themeColor="accent1" w:themeShade="BF"/>
        </w:rPr>
        <w:t>ИНФОРМАЦИЯ О ЛИЦЕ, ПРЕДОСТАВЛЯЮЩЕМ ФИНАНСОВУЮ УСЛУГУ</w:t>
      </w:r>
    </w:p>
    <w:tbl>
      <w:tblPr>
        <w:tblStyle w:val="-66"/>
        <w:tblpPr w:leftFromText="180" w:rightFromText="180" w:vertAnchor="text" w:horzAnchor="margin" w:tblpXSpec="center" w:tblpY="271"/>
        <w:tblW w:w="0" w:type="auto"/>
        <w:tblLook w:val="04A0" w:firstRow="1" w:lastRow="0" w:firstColumn="1" w:lastColumn="0" w:noHBand="0" w:noVBand="1"/>
      </w:tblPr>
      <w:tblGrid>
        <w:gridCol w:w="9254"/>
      </w:tblGrid>
      <w:tr w:rsidR="00D92C16" w:rsidTr="00D9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4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Полное фирменное наименование: Кредитный Потребительский Кооператив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ГарантЗаймы</w:t>
            </w:r>
            <w:proofErr w:type="spellEnd"/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», сокращенное фирменное наименование: КПК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ГарантЗаймы</w:t>
            </w:r>
            <w:proofErr w:type="spellEnd"/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».</w:t>
            </w:r>
          </w:p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Место нахождения постоянно действующего исполнительного органа:</w:t>
            </w:r>
          </w:p>
          <w:p w:rsid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4126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Адрес: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450006, Республика Башкортостан, г. Уфа, ул. Революционная, д. 57, офис 2</w:t>
            </w:r>
          </w:p>
          <w:p w:rsidR="00181B49" w:rsidRPr="00181B49" w:rsidRDefault="00181B49" w:rsidP="00181B49">
            <w:pP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</w:pPr>
            <w:r w:rsidRPr="00181B49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454080, г. Челябинск, ул. Труда, д. 161</w:t>
            </w:r>
          </w:p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4126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Телефон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: +7 347 226 26 90</w:t>
            </w:r>
          </w:p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4126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График работы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(местное время): Пн.- Пт. с 9:30 до 18:30; Сб. с 10:00 до 15:00</w:t>
            </w:r>
          </w:p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Официальный сайт в информационно-телекоммуникационной сети «Интернет»:</w:t>
            </w:r>
            <w:r w:rsidRPr="00D92C16">
              <w:rPr>
                <w:b w:val="0"/>
              </w:rPr>
              <w:t xml:space="preserve"> 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hyperlink w:history="1">
              <w:r w:rsidR="00436691" w:rsidRPr="00BB31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</w:hyperlink>
            <w:r w:rsidR="0043669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гарантзайм.рф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D92C16" w:rsidRPr="00D92C16" w:rsidRDefault="00D92C16" w:rsidP="00D92C16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</w:t>
            </w:r>
            <w:r w:rsidR="0075359C"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КПК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ГарантЗаймы</w:t>
            </w:r>
            <w:proofErr w:type="spellEnd"/>
            <w:r w:rsidR="007535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  <w:r w:rsidRPr="00D92C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является членом Ассоциации "Саморегулируемая организация  кредитных потребительских кооперативов "Кооперативные Финансы", о чем в реестр членов внесена запись № 481 от 15.04.2019 года.</w:t>
            </w:r>
          </w:p>
          <w:p w:rsidR="00D92C16" w:rsidRDefault="00D92C16" w:rsidP="00D92C16">
            <w:pPr>
              <w:rPr>
                <w:lang w:eastAsia="ru-RU"/>
              </w:rPr>
            </w:pPr>
          </w:p>
        </w:tc>
      </w:tr>
    </w:tbl>
    <w:p w:rsidR="000F2BD7" w:rsidRDefault="000F2BD7" w:rsidP="00F94A86">
      <w:pPr>
        <w:pStyle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u w:val="single"/>
          <w:lang w:eastAsia="ru-RU"/>
        </w:rPr>
      </w:pPr>
    </w:p>
    <w:p w:rsidR="00D92C16" w:rsidRDefault="00D92C16" w:rsidP="00D92C16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  <w:r w:rsidRPr="00D92C16">
        <w:rPr>
          <w:rStyle w:val="70"/>
          <w:i w:val="0"/>
          <w:iCs w:val="0"/>
          <w:color w:val="850C4B" w:themeColor="accent1" w:themeShade="BF"/>
        </w:rPr>
        <w:t>ИНФОРМАЦИЯ ОБ ОРГАНАХ УПРАВЛЕНИЯ КРЕДИТНОГО КООПЕРАТИВА И ЛИЦАХ,</w:t>
      </w:r>
      <w:r w:rsidR="00AD092B">
        <w:rPr>
          <w:rStyle w:val="70"/>
          <w:i w:val="0"/>
          <w:iCs w:val="0"/>
          <w:color w:val="850C4B" w:themeColor="accent1" w:themeShade="BF"/>
        </w:rPr>
        <w:t xml:space="preserve"> </w:t>
      </w:r>
      <w:r w:rsidRPr="00D92C16">
        <w:rPr>
          <w:rStyle w:val="70"/>
          <w:i w:val="0"/>
          <w:iCs w:val="0"/>
          <w:color w:val="850C4B" w:themeColor="accent1" w:themeShade="BF"/>
        </w:rPr>
        <w:t>ВХОДЯЩИХ В СОСТАВ ОРГАНОВ УПРАВЛЕНИЯ КРЕДИТНОГО КООПЕРАТИВА</w:t>
      </w:r>
    </w:p>
    <w:p w:rsidR="00D92C16" w:rsidRPr="00D92C16" w:rsidRDefault="00D92C16" w:rsidP="00D92C16"/>
    <w:tbl>
      <w:tblPr>
        <w:tblStyle w:val="-66"/>
        <w:tblpPr w:leftFromText="180" w:rightFromText="180" w:vertAnchor="text" w:horzAnchor="margin" w:tblpXSpec="center" w:tblpY="271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D92C16" w:rsidTr="00AD0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D92C16" w:rsidRDefault="00A05A03" w:rsidP="0079039A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r w:rsidR="00AD092B" w:rsidRPr="00AD092B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рганами К</w:t>
            </w:r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ПК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ГарантЗаймы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  <w:r w:rsidR="00AD092B" w:rsidRPr="00AD092B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 являются: Общее собрание членов Кооператива; председатель правления Кооператива – </w:t>
            </w:r>
            <w:proofErr w:type="spellStart"/>
            <w:r w:rsidR="00AD092B" w:rsidRPr="00AD092B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Щегловатый</w:t>
            </w:r>
            <w:proofErr w:type="spellEnd"/>
            <w:r w:rsidR="00AD092B" w:rsidRPr="00AD092B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 С.Н., член правления – Юсупова О.Р., член правления – </w:t>
            </w:r>
            <w:proofErr w:type="spellStart"/>
            <w:r w:rsidR="00C5448A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Арчибасова</w:t>
            </w:r>
            <w:proofErr w:type="spellEnd"/>
            <w:r w:rsidR="00C5448A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 А.М</w:t>
            </w:r>
            <w:r w:rsidR="00AD092B" w:rsidRPr="00AD092B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., ревизионная комиссия - </w:t>
            </w:r>
            <w:proofErr w:type="spellStart"/>
            <w:r w:rsidR="00C5448A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Халяпина</w:t>
            </w:r>
            <w:proofErr w:type="spellEnd"/>
            <w:r w:rsidR="00C5448A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 А.С., Чуфарова Е.В.</w:t>
            </w:r>
            <w:r w:rsidR="00436691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, Протасенко А.В.</w:t>
            </w:r>
          </w:p>
        </w:tc>
      </w:tr>
    </w:tbl>
    <w:p w:rsidR="00AD092B" w:rsidRDefault="00AD092B" w:rsidP="00D92C16">
      <w:pPr>
        <w:rPr>
          <w:lang w:eastAsia="ru-RU"/>
        </w:rPr>
      </w:pPr>
    </w:p>
    <w:p w:rsidR="00AC2616" w:rsidRDefault="00AC2616" w:rsidP="00AC2616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</w:p>
    <w:p w:rsidR="00AC2616" w:rsidRPr="00AC2616" w:rsidRDefault="00AC2616" w:rsidP="00AC2616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  <w:r w:rsidRPr="00AC2616">
        <w:rPr>
          <w:rStyle w:val="70"/>
          <w:i w:val="0"/>
          <w:iCs w:val="0"/>
          <w:color w:val="850C4B" w:themeColor="accent1" w:themeShade="BF"/>
        </w:rPr>
        <w:t xml:space="preserve">ИНФОРМАЦИЯ ОБ ОСУЩЕСТВЛЕНИИ ДЕЯТЕЛЬНОСТИ ТРЕТЬИМИ ЛИЦАМИ, ДЕЙСТВУЮЩИМИ ПО ПОРУЧЕНИЮ, ОТ ИМЕНИ И ЗА СЧЕТ КРЕДИТНОГО КООПЕРАТИВА, В ТОМ ЧИСЛЕ НА ОСНОВАНИИ </w:t>
      </w:r>
      <w:bookmarkStart w:id="0" w:name="_GoBack"/>
      <w:r w:rsidRPr="00AC2616">
        <w:rPr>
          <w:rStyle w:val="70"/>
          <w:i w:val="0"/>
          <w:iCs w:val="0"/>
          <w:color w:val="850C4B" w:themeColor="accent1" w:themeShade="BF"/>
        </w:rPr>
        <w:t>ГРАЖД</w:t>
      </w:r>
      <w:bookmarkEnd w:id="0"/>
      <w:r w:rsidRPr="00AC2616">
        <w:rPr>
          <w:rStyle w:val="70"/>
          <w:i w:val="0"/>
          <w:iCs w:val="0"/>
          <w:color w:val="850C4B" w:themeColor="accent1" w:themeShade="BF"/>
        </w:rPr>
        <w:t>АНСКО-ПРАВОГО ДОГОВОРА ИЛИ ДОВЕРЕННОСТИ</w:t>
      </w:r>
    </w:p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AC2616" w:rsidTr="00AC2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AC2616" w:rsidRDefault="00AC2616" w:rsidP="00AC2616">
            <w:pPr>
              <w:rPr>
                <w:lang w:eastAsia="ru-RU"/>
              </w:rPr>
            </w:pPr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Третьи лица, действующие по поручению, от имени и за счет </w:t>
            </w:r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Кооператива</w:t>
            </w:r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 отсутствуют.</w:t>
            </w:r>
          </w:p>
        </w:tc>
      </w:tr>
    </w:tbl>
    <w:p w:rsidR="00AD092B" w:rsidRPr="00AD092B" w:rsidRDefault="00AD092B" w:rsidP="00AD092B">
      <w:pPr>
        <w:rPr>
          <w:lang w:eastAsia="ru-RU"/>
        </w:rPr>
      </w:pPr>
    </w:p>
    <w:p w:rsidR="00AD092B" w:rsidRDefault="00AD092B" w:rsidP="00AC2616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  <w:r w:rsidRPr="00AD092B">
        <w:rPr>
          <w:rStyle w:val="70"/>
          <w:i w:val="0"/>
          <w:iCs w:val="0"/>
          <w:color w:val="850C4B" w:themeColor="accent1" w:themeShade="BF"/>
        </w:rPr>
        <w:lastRenderedPageBreak/>
        <w:t>ИНФОРМАЦИЯ ФИНАНСОВЫХ И ИНЫХ УСЛУГАХ КРЕДИТНОГО КООПЕРАТИВА, ОКАЗЫВАЕМЫХ ПОТРЕБИТЕЛЯМ ФИНАНСОВЫХ УСЛУГ, В ТОМ ЧИСЛЕ ЗА ДОПОЛНИТЕЛЬНУЮ ПЛАТУ С ОПИСАНИЕМ УСЛУГИ И УКАЗАНИЯ ЕЕ СТОИМОСТИ</w:t>
      </w:r>
    </w:p>
    <w:tbl>
      <w:tblPr>
        <w:tblStyle w:val="-66"/>
        <w:tblpPr w:leftFromText="180" w:rightFromText="180" w:vertAnchor="text" w:horzAnchor="margin" w:tblpXSpec="center" w:tblpY="314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A05A03" w:rsidTr="00A0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A05A03" w:rsidRPr="00AC2616" w:rsidRDefault="00A05A03" w:rsidP="00A05A03">
            <w:pP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</w:pPr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КПК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ГарантЗаймы</w:t>
            </w:r>
            <w:proofErr w:type="spellEnd"/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» предоставляет следующие финансовые услуги:</w:t>
            </w:r>
          </w:p>
          <w:p w:rsidR="00A05A03" w:rsidRPr="00AC2616" w:rsidRDefault="00A05A03" w:rsidP="00A05A03">
            <w:pP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- </w:t>
            </w:r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заключение договоров передачи личных сбережений.</w:t>
            </w:r>
          </w:p>
          <w:p w:rsidR="00A05A03" w:rsidRDefault="00A05A03" w:rsidP="00A05A03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 xml:space="preserve">- </w:t>
            </w:r>
            <w:r w:rsidRPr="00AC2616">
              <w:rPr>
                <w:rFonts w:ascii="Times New Roman" w:eastAsia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eastAsia="ru-RU"/>
              </w:rPr>
              <w:t>договоры займа.</w:t>
            </w:r>
          </w:p>
        </w:tc>
      </w:tr>
    </w:tbl>
    <w:p w:rsidR="00A05A03" w:rsidRDefault="00A05A03" w:rsidP="00A05A03"/>
    <w:p w:rsidR="00A05A03" w:rsidRDefault="00A05A03" w:rsidP="00A05A03"/>
    <w:p w:rsidR="00A05A03" w:rsidRDefault="00A05A03" w:rsidP="00A05A03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  <w:r w:rsidRPr="00A05A03">
        <w:rPr>
          <w:rStyle w:val="70"/>
          <w:i w:val="0"/>
          <w:iCs w:val="0"/>
          <w:color w:val="850C4B" w:themeColor="accent1" w:themeShade="BF"/>
        </w:rPr>
        <w:t>ИНФОРМАЦИЯ О ТОМ, О ТОМ, ЧТО КРЕДИТНЫЙ КООПЕРАТИВ НЕ ЯВЛЯЕТСЯ УЧАСТНИКОМ СИСТЕМЫ ОБЯЗАТЕЛЬНОГО СТРАХОВАНИЯ ВКЛАДОВ ФИЗИЧЕСКИХ ЛИЦ</w:t>
      </w:r>
    </w:p>
    <w:p w:rsidR="00A05A03" w:rsidRPr="00A05A03" w:rsidRDefault="00A05A03" w:rsidP="00A05A03"/>
    <w:tbl>
      <w:tblPr>
        <w:tblStyle w:val="-66"/>
        <w:tblpPr w:leftFromText="180" w:rightFromText="180" w:vertAnchor="text" w:horzAnchor="margin" w:tblpXSpec="right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9142"/>
      </w:tblGrid>
      <w:tr w:rsidR="00A05A03" w:rsidTr="00A0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2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A05A03" w:rsidRPr="00A05A03" w:rsidRDefault="00A05A03" w:rsidP="0079039A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05A0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КПК «</w:t>
            </w:r>
            <w:proofErr w:type="spellStart"/>
            <w:r w:rsidR="007535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ГарантЗаймы</w:t>
            </w:r>
            <w:proofErr w:type="spellEnd"/>
            <w:r w:rsidRPr="00A05A0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 не является участником системы обязательного страхования вкладов физических лиц.</w:t>
            </w:r>
          </w:p>
        </w:tc>
      </w:tr>
    </w:tbl>
    <w:p w:rsidR="00A05A03" w:rsidRDefault="00A05A03" w:rsidP="00A05A03">
      <w:pPr>
        <w:pStyle w:val="2"/>
        <w:jc w:val="right"/>
        <w:rPr>
          <w:rStyle w:val="70"/>
          <w:i w:val="0"/>
          <w:iCs w:val="0"/>
          <w:color w:val="850C4B" w:themeColor="accent1" w:themeShade="BF"/>
        </w:rPr>
      </w:pPr>
    </w:p>
    <w:p w:rsidR="00A05A03" w:rsidRDefault="00A05A03" w:rsidP="00A05A03">
      <w:pPr>
        <w:pStyle w:val="2"/>
        <w:jc w:val="right"/>
      </w:pPr>
      <w:r w:rsidRPr="00A05A03">
        <w:rPr>
          <w:rStyle w:val="70"/>
          <w:i w:val="0"/>
          <w:iCs w:val="0"/>
          <w:color w:val="850C4B" w:themeColor="accent1" w:themeShade="BF"/>
        </w:rPr>
        <w:t>ИНФОРМАЦИЯ О РИСКАХ НЕИСПОЛНЕНИЯ ОБЯЗАТЕЛЬСТВ ЗАЕМЩИКОМ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ЗАЁМЩИКА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</w:t>
      </w:r>
    </w:p>
    <w:p w:rsidR="00A05A03" w:rsidRDefault="00A05A03" w:rsidP="00A05A03"/>
    <w:tbl>
      <w:tblPr>
        <w:tblStyle w:val="-66"/>
        <w:tblpPr w:leftFromText="180" w:rightFromText="180" w:vertAnchor="text" w:horzAnchor="margin" w:tblpXSpec="right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9142"/>
      </w:tblGrid>
      <w:tr w:rsidR="00A05A03" w:rsidTr="0069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2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A05A03" w:rsidRPr="00A05A03" w:rsidRDefault="00A05A03" w:rsidP="006908F4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Pr="00A05A0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случае,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заёмщика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валюте), к заемщику применяются штрафные санкции в случае неисполнения обязательств по договору потребительского кредита (займа).</w:t>
            </w:r>
          </w:p>
        </w:tc>
      </w:tr>
    </w:tbl>
    <w:p w:rsidR="00A05A03" w:rsidRDefault="00A05A03" w:rsidP="00A05A03"/>
    <w:p w:rsidR="00A05A03" w:rsidRDefault="00A05A03" w:rsidP="00170CE4">
      <w:pPr>
        <w:pStyle w:val="2"/>
        <w:jc w:val="right"/>
      </w:pPr>
      <w:r w:rsidRPr="00A05A03">
        <w:rPr>
          <w:rStyle w:val="70"/>
          <w:i w:val="0"/>
          <w:iCs w:val="0"/>
          <w:color w:val="850C4B" w:themeColor="accent1" w:themeShade="BF"/>
        </w:rPr>
        <w:lastRenderedPageBreak/>
        <w:t>ИНФОРМАЦИЯ О СПОСОБАХ И АДРЕСАХ ДЛЯ НАПРАВЛЕНИЯ ОБРАЩЕНИЙ ПОЛУЧАТЕЛЯМИ ФИНАНСОВОЙ УСЛУГИ, В ТОМ ЧИСЛЕ О ВОЗМОЖНОСТИ НАПРАВЛЕНИЯ ОБРАЩЕНИЙ В САМОРЕГУЛИРУЕМУЮ ОРГАНИЗАЦИЮ, А ТАКЖЕ В БАНК РОССИИ.</w:t>
      </w:r>
    </w:p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A05A03" w:rsidTr="0069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случае отсутствия возможности посещения офиса Кооператива, член (пайщик) вправе обратиться в 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Кооператив, Центральный Банк Российской Федерации, Ассоциацию «Саморегулируемая организация кредитных потребительских кооперативов «Кооперативные Финансы»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следующими способами:</w:t>
            </w:r>
          </w:p>
          <w:p w:rsid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ym w:font="Symbol" w:char="F02D"/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путем направления обращения почтовым отправлением; </w:t>
            </w:r>
          </w:p>
          <w:p w:rsid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ym w:font="Symbol" w:char="F02D"/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путем направления обращения по электронной почте - </w:t>
            </w:r>
            <w:hyperlink r:id="rId8" w:history="1">
              <w:r w:rsidRPr="00F26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obrashenie@garant-zaim.ru</w:t>
              </w:r>
            </w:hyperlink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</w:p>
          <w:p w:rsid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ym w:font="Symbol" w:char="F02D"/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путем направления обращений через официальный сайт Банка России (</w:t>
            </w:r>
            <w:hyperlink r:id="rId9" w:history="1">
              <w:r w:rsidRPr="00F26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http://cbr.ru</w:t>
              </w:r>
            </w:hyperlink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); </w:t>
            </w:r>
          </w:p>
          <w:p w:rsidR="00A05A03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ym w:font="Symbol" w:char="F02D"/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путем направления обращений через официальный сайт Ассоциации «Саморегулируемая организация кредитных потребительских кооперативов «Кооперативные Финансы» (https://www.coopfin.ru).</w:t>
            </w:r>
          </w:p>
        </w:tc>
      </w:tr>
    </w:tbl>
    <w:p w:rsidR="00170CE4" w:rsidRDefault="00170CE4" w:rsidP="00A05A03"/>
    <w:p w:rsidR="00170CE4" w:rsidRPr="00170CE4" w:rsidRDefault="00170CE4" w:rsidP="00170CE4"/>
    <w:p w:rsidR="00170CE4" w:rsidRDefault="00170CE4" w:rsidP="00170CE4">
      <w:pPr>
        <w:pStyle w:val="2"/>
        <w:jc w:val="right"/>
      </w:pPr>
      <w:r>
        <w:tab/>
      </w:r>
      <w:r w:rsidRPr="00DF5D78">
        <w:t>ИНФОРМАЦИЯ О СПОСОБАХ ЗАЩИТЫ ПРАВ ПОЛУЧАТЕЛЯ ФИНАНСОВОЙ УСЛУГИ</w:t>
      </w:r>
    </w:p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170CE4" w:rsidTr="0069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Права потребителей финансовых услуг установлены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ФЗ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"О кредитной кооперации" от 18.07.2009 N 190-ФЗ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кооперативы.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Защита прав получателя финансовой услуги осуществляется</w:t>
            </w: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кооперативом - путем исполнения своих обязанностей перед получателем финансовых услуг в соответствии с требованиями законодательства и Базового стандарта;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получателем - путем реализации им своих прав на получение информации, защиту персональных данных, защиту частной жизни, защиту неприкосновенности жилища, защиту репутации, других прав, а также путем направления обращений в кооператив с заявлением на реструктуризацию задолженности и иными заявлениями;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путем направления обращений в СРО и Банк России с жалобами и заявлениями на действия(бездействия) кооператива;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путем обращения в суд с исками на действия (бездействие) кооператива;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путем медиации в рамках досудебного урегулирования спора, если это предусмотрено договором или дополнительным соглашением сторон;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путем обращения получателя финансовых услуг в надзорные органы, общественные и иные организации, созданные и осуществляющие свою деятельность по защите прав и законных интересов потребителей(получателей) финансовых услуг в соответствии с законодательством Российской Федерации.</w:t>
            </w:r>
          </w:p>
          <w:p w:rsidR="00170CE4" w:rsidRPr="00170CE4" w:rsidRDefault="00170CE4" w:rsidP="00170CE4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70C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Получатель финансовых услуг вправе защищать свои права и законные интересы иными установленными или незапрещенными законодательством способами.</w:t>
            </w:r>
          </w:p>
        </w:tc>
      </w:tr>
    </w:tbl>
    <w:p w:rsidR="00170CE4" w:rsidRDefault="00170CE4" w:rsidP="002E43E3">
      <w:pPr>
        <w:pStyle w:val="2"/>
        <w:jc w:val="right"/>
      </w:pPr>
    </w:p>
    <w:p w:rsidR="002E43E3" w:rsidRPr="00170CE4" w:rsidRDefault="002E43E3" w:rsidP="002E43E3">
      <w:pPr>
        <w:pStyle w:val="2"/>
        <w:jc w:val="right"/>
      </w:pPr>
      <w:r w:rsidRPr="002E43E3">
        <w:t>ИНФОРМАЦИЯ ОБ ОБЯЗАННОСТИ ЧЛЕНА КРЕДИТНОГО КООПЕРАТИВА (ПАЙЩИКА) СОЛИДАРНОГО НЕСЕНИЯ СУБСИДИАРНОЙ ОТВЕТСТВЕННОСТИ ПО ЕГО ОБЯЗАТЕЛЬСТВАМ В ПРЕДЕЛАХ НЕВНЕСЕННОЙ ЧАСТИ ДОПОЛНИТЕЛЬНОГО ВЗНОСА КАЖДОГО ИЗ ЧЛЕНОВ КРЕДИТНОГО КООПЕРАТИВА (ПАЙЩИКОВ)</w:t>
      </w:r>
    </w:p>
    <w:p w:rsidR="00170CE4" w:rsidRPr="00170CE4" w:rsidRDefault="00170CE4" w:rsidP="00170CE4">
      <w:pPr>
        <w:tabs>
          <w:tab w:val="left" w:pos="7605"/>
        </w:tabs>
      </w:pPr>
    </w:p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2E43E3" w:rsidTr="0069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2E43E3" w:rsidRPr="00170CE4" w:rsidRDefault="003146B6" w:rsidP="0079039A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Главой 7</w:t>
            </w:r>
            <w:r w:rsidR="002E43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Устава КПК «</w:t>
            </w:r>
            <w:proofErr w:type="spellStart"/>
            <w:r w:rsidR="007535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ГарантЗаймы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», установлена обязанность каждого</w:t>
            </w:r>
            <w:r w:rsidR="002E43E3" w:rsidRPr="002E43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член кооператива обязан солидарно с другими членами Кооператива (пайщиками) нести субсидиарную ответственность по обязательствам Кооператива в пределах невнесенной части дополнительного взноса.</w:t>
            </w:r>
          </w:p>
        </w:tc>
      </w:tr>
    </w:tbl>
    <w:p w:rsidR="00170CE4" w:rsidRPr="00170CE4" w:rsidRDefault="00170CE4" w:rsidP="002E43E3"/>
    <w:p w:rsidR="00170CE4" w:rsidRPr="00170CE4" w:rsidRDefault="00170CE4" w:rsidP="00170CE4"/>
    <w:p w:rsidR="003038C8" w:rsidRDefault="003038C8" w:rsidP="003038C8">
      <w:pPr>
        <w:pStyle w:val="2"/>
        <w:jc w:val="right"/>
      </w:pPr>
      <w:r w:rsidRPr="00DF5D78">
        <w:t>ИНФОРМАЦИЯ О ПОРЯДКЕ, УСЛОВИЯХ И СПОСОБАХ УЧАСТИЯ ЧЛЕНА КРЕДИТНОГО КООПЕРАТИВА (ПАЙЩИКА) В УПРАВЛЕНИИ КРЕДИТНЫМ КООПЕРАТИВОМ, В ТОМ ЧИСЛЕ О ПРИНЦИПЕ САМОУПРАВЛЕНИЯ КРЕДИТНОГО КООПЕРАТИВА И ПРАВЕ ЧЛЕНА КРЕДИТНОГО КООПЕРАТИВА (ПАЙЩИКА) УЧАСТВОВАТЬ В РАБОТЕ ОБЩЕГО СОБРАНИЯ ЧЛЕНОВ КРЕДИТНОГО КООПЕРАТИВА (ПАЙЩИКОВ)</w:t>
      </w:r>
    </w:p>
    <w:p w:rsidR="003038C8" w:rsidRPr="003038C8" w:rsidRDefault="003038C8" w:rsidP="003038C8"/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3038C8" w:rsidTr="00B2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 3, 4 ч. 1 ст. 13 Федерального закона от 18.07.2009 N190-ФЗ «О кредитной кооперации» каждый член кредитного кооператива имеет право:</w:t>
            </w:r>
          </w:p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участвовать в управлении кредитным кооперативом, в том числе в работе общего собрания членов кредитного кооператива (пайщиков):</w:t>
            </w:r>
          </w:p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инициировать созыв общего собрания членов кредитного кооператива (пайщиков) в порядке, определенном Законом "О кредитной кооперации";</w:t>
            </w:r>
          </w:p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участвовать в обсуждении повестки дня и вносить предложения по повестке дня общего собрания членов кредитного кооператива (пайщиков);</w:t>
            </w:r>
          </w:p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голосовать по всем вопросам, вынесенным на общее собрание членов кредитного кооператива (пайщиков), с правом одного голоса;</w:t>
            </w:r>
          </w:p>
          <w:p w:rsidR="003038C8" w:rsidRPr="003038C8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избирать и быть избранным в органы кредитного кооператива;</w:t>
            </w:r>
          </w:p>
          <w:p w:rsidR="003038C8" w:rsidRPr="00170CE4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получать информацию от органов кредитного кооператива по вопросам его деятельности, в том числе знакомиться с протоколами общего собрания членов кредитного кооператива (пайщиков), годовой бухгалтерской (финансовой) отчетностью кредитного кооператива, со сметой доходов и расходов на содержание</w:t>
            </w:r>
          </w:p>
        </w:tc>
      </w:tr>
    </w:tbl>
    <w:p w:rsidR="003038C8" w:rsidRDefault="003038C8" w:rsidP="003038C8">
      <w:pPr>
        <w:pStyle w:val="2"/>
        <w:jc w:val="right"/>
      </w:pPr>
      <w:r w:rsidRPr="00DF5D78">
        <w:lastRenderedPageBreak/>
        <w:t>ИНФОРМАЦИЯ О ПОРЯДКЕ ОЗНАКОМЛЕНИЯ ПОЛУЧАТЕЛЯ ФИНАНСОВЫХ УСЛУГ С ПОРЯДКОМ И УСЛОВИЯМИ ПРИВЛЕЧЕНИЯ ДЕНЕЖНЫХ СРЕДСТВ ЧЛЕНОВ КРЕДИТНОГО КООПЕРАТИВА (ПАЙЩИКОВ) И ПОРЯДКОМ ПРЕДОСТАВЛЕНИЯ ЗАЙМОВ ЧЛЕНАМ КРЕДИТНОГО КООПЕРАТИВА (ПАЙЩИКАМ)</w:t>
      </w:r>
    </w:p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3038C8" w:rsidTr="00B2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3038C8" w:rsidRPr="00170CE4" w:rsidRDefault="003038C8" w:rsidP="003038C8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Получатели финансовых услуг могут ознакомиться с порядком и условиями привлечения денежных средств членов кредитного кооператива (пайщиков) и порядком предоставления займов членам креди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тного кооператива (пайщикам) в офисе.</w:t>
            </w:r>
          </w:p>
        </w:tc>
      </w:tr>
    </w:tbl>
    <w:p w:rsidR="00170CE4" w:rsidRDefault="00170CE4" w:rsidP="003038C8">
      <w:pPr>
        <w:pStyle w:val="2"/>
      </w:pPr>
    </w:p>
    <w:p w:rsidR="003038C8" w:rsidRDefault="003038C8" w:rsidP="003038C8">
      <w:pPr>
        <w:pStyle w:val="2"/>
        <w:jc w:val="right"/>
      </w:pPr>
      <w:r w:rsidRPr="0092723B">
        <w:t>ИНФОРМАЦИЯ О РАЗМЕРЕ ИЛИ ПОРЯДКЕ РАСЧЕТА, А ТАКЖЕ О ПОРЯДКЕ УПЛАТЫ ВСТУПИТЕЛ</w:t>
      </w:r>
      <w:r>
        <w:t>ЬНОГО ВЗНОСА И ЧЛЕНСКОГО ВЗНОСА</w:t>
      </w:r>
    </w:p>
    <w:p w:rsidR="003038C8" w:rsidRPr="003038C8" w:rsidRDefault="003038C8" w:rsidP="003038C8"/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3038C8" w:rsidTr="00B2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3038C8" w:rsidRPr="003038C8" w:rsidRDefault="003038C8" w:rsidP="00B2736D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Вступительный взнос - денежные средства, вносимые при вступлении в Кооператив на покрытие расходов, связанных со вступлением в Кооператив. Вступительный взнос является компенсацией расходов, связанных с рассмотрением заявления о вступлении в Кооператив и изготовлением документации о членстве в Кооперативе, оплачивается в день подачи заявления, возврату не подлежит. Размер вступительного взноса составляет 50 (пятьдесят) рублей.</w:t>
            </w:r>
          </w:p>
        </w:tc>
      </w:tr>
    </w:tbl>
    <w:p w:rsidR="003038C8" w:rsidRPr="003038C8" w:rsidRDefault="003038C8" w:rsidP="003038C8"/>
    <w:p w:rsidR="00170CE4" w:rsidRPr="00170CE4" w:rsidRDefault="00170CE4" w:rsidP="003038C8">
      <w:pPr>
        <w:pStyle w:val="2"/>
        <w:jc w:val="right"/>
      </w:pPr>
    </w:p>
    <w:p w:rsidR="003038C8" w:rsidRDefault="003038C8" w:rsidP="003038C8">
      <w:pPr>
        <w:pStyle w:val="2"/>
        <w:jc w:val="right"/>
        <w:rPr>
          <w:smallCaps/>
          <w:spacing w:val="10"/>
        </w:rPr>
      </w:pPr>
      <w:r w:rsidRPr="0092723B">
        <w:rPr>
          <w:smallCaps/>
          <w:spacing w:val="10"/>
        </w:rPr>
        <w:t>ПРЕДОСТАВЛЕНИЕ КОПИЙ ДОКУМЕНТОВ, СОДЕРЖАЩИХ ИНФОРМАЦИЮ, УКАЗАННУЮ В НАСТОЯЩЕМ ДОКУМЕНТЕ</w:t>
      </w:r>
    </w:p>
    <w:p w:rsidR="00170CE4" w:rsidRDefault="00170CE4" w:rsidP="00170CE4"/>
    <w:tbl>
      <w:tblPr>
        <w:tblStyle w:val="-66"/>
        <w:tblpPr w:leftFromText="180" w:rightFromText="180" w:vertAnchor="text" w:horzAnchor="margin" w:tblpXSpec="center" w:tblpY="271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3038C8" w:rsidTr="00B2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tcBorders>
              <w:top w:val="single" w:sz="12" w:space="0" w:color="70186D" w:themeColor="accent6" w:themeShade="80"/>
              <w:left w:val="single" w:sz="12" w:space="0" w:color="70186D" w:themeColor="accent6" w:themeShade="80"/>
              <w:bottom w:val="single" w:sz="12" w:space="0" w:color="70186D" w:themeColor="accent6" w:themeShade="80"/>
              <w:right w:val="single" w:sz="12" w:space="0" w:color="70186D" w:themeColor="accent6" w:themeShade="80"/>
            </w:tcBorders>
            <w:shd w:val="clear" w:color="auto" w:fill="FFFFFF" w:themeFill="background1"/>
          </w:tcPr>
          <w:p w:rsidR="003038C8" w:rsidRPr="003038C8" w:rsidRDefault="003038C8" w:rsidP="00B2736D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038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Копии документов, содержащих информацию, указанную в настоящем документе, предоставляются по запросу получателя финансовой услуги бесплатно или за плату, не превышающую затрат на их изготовление, в течение 1 (одного) рабочего дня с даты такого запроса.</w:t>
            </w:r>
          </w:p>
        </w:tc>
      </w:tr>
    </w:tbl>
    <w:p w:rsidR="003038C8" w:rsidRPr="00170CE4" w:rsidRDefault="003038C8" w:rsidP="00170CE4"/>
    <w:p w:rsidR="00170CE4" w:rsidRPr="00170CE4" w:rsidRDefault="00170CE4" w:rsidP="00170CE4"/>
    <w:p w:rsidR="00A05A03" w:rsidRPr="00170CE4" w:rsidRDefault="00A05A03" w:rsidP="00170CE4"/>
    <w:p w:rsidR="009B5E42" w:rsidRDefault="009B5E42" w:rsidP="00F94A86">
      <w:pPr>
        <w:pStyle w:val="3"/>
      </w:pPr>
    </w:p>
    <w:sectPr w:rsidR="009B5E42" w:rsidSect="00F94A86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6B" w:rsidRDefault="00F37A6B" w:rsidP="003520E9">
      <w:pPr>
        <w:spacing w:after="0" w:line="240" w:lineRule="auto"/>
      </w:pPr>
      <w:r>
        <w:separator/>
      </w:r>
    </w:p>
  </w:endnote>
  <w:endnote w:type="continuationSeparator" w:id="0">
    <w:p w:rsidR="00F37A6B" w:rsidRDefault="00F37A6B" w:rsidP="003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86" w:rsidRPr="00F94A86" w:rsidRDefault="00F94A86" w:rsidP="00F94A86">
    <w:pPr>
      <w:pStyle w:val="af9"/>
      <w:rPr>
        <w:sz w:val="18"/>
        <w:szCs w:val="18"/>
      </w:rPr>
    </w:pPr>
    <w:r>
      <w:rPr>
        <w:sz w:val="18"/>
        <w:szCs w:val="18"/>
      </w:rPr>
      <w:t>*</w:t>
    </w:r>
    <w:r w:rsidRPr="00F94A86">
      <w:rPr>
        <w:sz w:val="18"/>
        <w:szCs w:val="18"/>
      </w:rPr>
      <w:t>(в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 (Утвержден Банком России 14.12.2017)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6B" w:rsidRDefault="00F37A6B" w:rsidP="003520E9">
      <w:pPr>
        <w:spacing w:after="0" w:line="240" w:lineRule="auto"/>
      </w:pPr>
      <w:r>
        <w:separator/>
      </w:r>
    </w:p>
  </w:footnote>
  <w:footnote w:type="continuationSeparator" w:id="0">
    <w:p w:rsidR="00F37A6B" w:rsidRDefault="00F37A6B" w:rsidP="0035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BB" w:rsidRDefault="005734B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BB" w:rsidRDefault="005734BB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BB" w:rsidRDefault="005734B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5BC13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165498"/>
    <w:multiLevelType w:val="hybridMultilevel"/>
    <w:tmpl w:val="C80A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171"/>
    <w:multiLevelType w:val="hybridMultilevel"/>
    <w:tmpl w:val="BB505C9E"/>
    <w:lvl w:ilvl="0" w:tplc="3BB267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2B5E"/>
    <w:multiLevelType w:val="hybridMultilevel"/>
    <w:tmpl w:val="F6E8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4BD"/>
    <w:multiLevelType w:val="hybridMultilevel"/>
    <w:tmpl w:val="51C206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070FAB"/>
    <w:multiLevelType w:val="hybridMultilevel"/>
    <w:tmpl w:val="FA7ADF32"/>
    <w:lvl w:ilvl="0" w:tplc="673A8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1600"/>
    <w:multiLevelType w:val="hybridMultilevel"/>
    <w:tmpl w:val="1562CA7C"/>
    <w:lvl w:ilvl="0" w:tplc="E3523C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6B83"/>
    <w:multiLevelType w:val="hybridMultilevel"/>
    <w:tmpl w:val="0EC2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27009"/>
    <w:multiLevelType w:val="hybridMultilevel"/>
    <w:tmpl w:val="60FAD5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206C82"/>
    <w:multiLevelType w:val="hybridMultilevel"/>
    <w:tmpl w:val="EA7E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4629B"/>
    <w:multiLevelType w:val="hybridMultilevel"/>
    <w:tmpl w:val="E436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1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B5"/>
    <w:rsid w:val="000F2BD7"/>
    <w:rsid w:val="00170CE4"/>
    <w:rsid w:val="00181B49"/>
    <w:rsid w:val="001A24E6"/>
    <w:rsid w:val="002A611D"/>
    <w:rsid w:val="002B12F2"/>
    <w:rsid w:val="002E43E3"/>
    <w:rsid w:val="003038C8"/>
    <w:rsid w:val="003146B6"/>
    <w:rsid w:val="003520E9"/>
    <w:rsid w:val="003A36C3"/>
    <w:rsid w:val="004040AF"/>
    <w:rsid w:val="00436691"/>
    <w:rsid w:val="004D4331"/>
    <w:rsid w:val="00537CEB"/>
    <w:rsid w:val="0054126F"/>
    <w:rsid w:val="005734BB"/>
    <w:rsid w:val="005D3D29"/>
    <w:rsid w:val="006777C6"/>
    <w:rsid w:val="0075359C"/>
    <w:rsid w:val="0079039A"/>
    <w:rsid w:val="00925E72"/>
    <w:rsid w:val="0092723B"/>
    <w:rsid w:val="00947129"/>
    <w:rsid w:val="009B5E42"/>
    <w:rsid w:val="00A05A03"/>
    <w:rsid w:val="00AB406E"/>
    <w:rsid w:val="00AC2616"/>
    <w:rsid w:val="00AD092B"/>
    <w:rsid w:val="00C03715"/>
    <w:rsid w:val="00C5448A"/>
    <w:rsid w:val="00D92C16"/>
    <w:rsid w:val="00DF05DC"/>
    <w:rsid w:val="00DF5D78"/>
    <w:rsid w:val="00E7238F"/>
    <w:rsid w:val="00F319A3"/>
    <w:rsid w:val="00F37A6B"/>
    <w:rsid w:val="00F91CB5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BD679-B924-4850-ADF0-552B534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BB"/>
  </w:style>
  <w:style w:type="paragraph" w:styleId="1">
    <w:name w:val="heading 1"/>
    <w:basedOn w:val="a"/>
    <w:next w:val="a"/>
    <w:link w:val="10"/>
    <w:uiPriority w:val="9"/>
    <w:qFormat/>
    <w:rsid w:val="005734BB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734B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34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734B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734B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5734B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B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B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4B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34BB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0F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B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B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4BB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734BB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4B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34B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5734B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4B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734B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5734B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734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5734BB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5734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5734B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5734BB"/>
    <w:rPr>
      <w:b/>
      <w:bCs/>
    </w:rPr>
  </w:style>
  <w:style w:type="character" w:styleId="ac">
    <w:name w:val="Emphasis"/>
    <w:basedOn w:val="a0"/>
    <w:uiPriority w:val="20"/>
    <w:qFormat/>
    <w:rsid w:val="005734BB"/>
    <w:rPr>
      <w:i/>
      <w:iCs/>
    </w:rPr>
  </w:style>
  <w:style w:type="paragraph" w:styleId="ad">
    <w:name w:val="No Spacing"/>
    <w:uiPriority w:val="1"/>
    <w:qFormat/>
    <w:rsid w:val="005734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734B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34B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734B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5734BB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5734B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5734B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5734B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5734B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5734B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5734BB"/>
    <w:pPr>
      <w:outlineLvl w:val="9"/>
    </w:pPr>
  </w:style>
  <w:style w:type="table" w:styleId="af6">
    <w:name w:val="Table Grid"/>
    <w:basedOn w:val="a1"/>
    <w:uiPriority w:val="39"/>
    <w:rsid w:val="005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352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20E9"/>
  </w:style>
  <w:style w:type="paragraph" w:styleId="af9">
    <w:name w:val="footer"/>
    <w:basedOn w:val="a"/>
    <w:link w:val="afa"/>
    <w:uiPriority w:val="99"/>
    <w:unhideWhenUsed/>
    <w:rsid w:val="00352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520E9"/>
  </w:style>
  <w:style w:type="paragraph" w:styleId="afb">
    <w:name w:val="footnote text"/>
    <w:basedOn w:val="a"/>
    <w:link w:val="afc"/>
    <w:uiPriority w:val="99"/>
    <w:semiHidden/>
    <w:unhideWhenUsed/>
    <w:rsid w:val="00F94A86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94A86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94A86"/>
    <w:rPr>
      <w:vertAlign w:val="superscript"/>
    </w:rPr>
  </w:style>
  <w:style w:type="character" w:styleId="afe">
    <w:name w:val="Placeholder Text"/>
    <w:basedOn w:val="a0"/>
    <w:uiPriority w:val="99"/>
    <w:semiHidden/>
    <w:rsid w:val="00F94A86"/>
    <w:rPr>
      <w:color w:val="808080"/>
    </w:rPr>
  </w:style>
  <w:style w:type="table" w:styleId="-66">
    <w:name w:val="List Table 6 Colorful Accent 6"/>
    <w:basedOn w:val="a1"/>
    <w:uiPriority w:val="51"/>
    <w:rsid w:val="00D92C16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D53DD0" w:themeColor="accent6"/>
        <w:bottom w:val="single" w:sz="4" w:space="0" w:color="D53D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8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474">
          <w:marLeft w:val="0"/>
          <w:marRight w:val="0"/>
          <w:marTop w:val="360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henie@garant-zaim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br.ru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вет директоров">
  <a:themeElements>
    <a:clrScheme name="Совет директоров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DFE9-8362-4426-8A51-F5DBACC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Чупракова</dc:creator>
  <cp:keywords/>
  <dc:description/>
  <cp:lastModifiedBy>Юлия Сергеевна Лысенко</cp:lastModifiedBy>
  <cp:revision>7</cp:revision>
  <dcterms:created xsi:type="dcterms:W3CDTF">2022-05-26T11:02:00Z</dcterms:created>
  <dcterms:modified xsi:type="dcterms:W3CDTF">2024-01-08T05:26:00Z</dcterms:modified>
</cp:coreProperties>
</file>